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eastAsiaTheme="minorEastAsia"/>
          <w:b/>
          <w:bCs/>
          <w:sz w:val="36"/>
          <w:szCs w:val="36"/>
          <w:lang w:val="en-US" w:eastAsia="zh-CN"/>
        </w:rPr>
        <w:t>丁內脂车间VP装车改造工程</w:t>
      </w:r>
      <w:r>
        <w:rPr>
          <w:rFonts w:hint="eastAsia"/>
          <w:b/>
          <w:bCs/>
          <w:sz w:val="36"/>
          <w:szCs w:val="36"/>
          <w:lang w:val="en-US" w:eastAsia="zh-CN"/>
        </w:rPr>
        <w:t>暂估价说明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  <w:t>丁內脂车间VP装车改造工程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项目因拆除和恢复原地面工程量无法准确计量，现将该拆除和恢复地面工程量和开挖基础土石方工程，预估4万元（管廊架单位工程1万、装车站单位工程3万元）列入工程预算，作为专项工程暂估价按实结算。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投资发展部</w:t>
      </w:r>
    </w:p>
    <w:p>
      <w:pPr>
        <w:ind w:firstLine="560" w:firstLineChars="200"/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2023年11月29日</w:t>
      </w:r>
    </w:p>
    <w:p>
      <w:pPr>
        <w:ind w:firstLine="560" w:firstLineChars="200"/>
        <w:jc w:val="righ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ZGJiMzJlMDU5YjIyNzRkY2Q1NzE2OWFkYzhlODkifQ=="/>
  </w:docVars>
  <w:rsids>
    <w:rsidRoot w:val="31EA5E40"/>
    <w:rsid w:val="2A0402DA"/>
    <w:rsid w:val="31EA5E40"/>
    <w:rsid w:val="36615F0B"/>
    <w:rsid w:val="44F86EB3"/>
    <w:rsid w:val="48293BE4"/>
    <w:rsid w:val="52BF03A6"/>
    <w:rsid w:val="5643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2023-11-21T03:38:00Z</dcterms:created>
  <dc:creator>dt</dc:creator>
  <cp:lastModifiedBy>dt</cp:lastModifiedBy>
  <cp:lastPrinted>2023-11-30T00:20:00Z</cp:lastPrinted>
  <dcterms:modified xsi:type="dcterms:W3CDTF">2023-12-12T09:39:07Z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9778D7DB0B1A45D19EFB0077B9661906_13</vt:lpwstr>
  </property>
</Properties>
</file>